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pacing w:val="80"/>
          <w:sz w:val="24"/>
          <w:szCs w:val="24"/>
        </w:rPr>
      </w:pPr>
      <w:r>
        <w:rPr>
          <w:spacing w:val="80"/>
          <w:sz w:val="24"/>
          <w:szCs w:val="24"/>
        </w:rPr>
      </w:r>
    </w:p>
    <w:p>
      <w:pPr>
        <w:pStyle w:val="Normal"/>
        <w:jc w:val="right"/>
        <w:rPr>
          <w:sz w:val="16"/>
          <w:szCs w:val="24"/>
        </w:rPr>
      </w:pPr>
      <w:r>
        <w:rPr>
          <w:sz w:val="16"/>
          <w:szCs w:val="24"/>
        </w:rPr>
        <w:t>gm. Pyrzyce</w:t>
      </w:r>
    </w:p>
    <w:p>
      <w:pPr>
        <w:pStyle w:val="Normal"/>
        <w:jc w:val="center"/>
        <w:rPr>
          <w:b/>
          <w:b/>
          <w:sz w:val="32"/>
          <w:szCs w:val="32"/>
        </w:rPr>
      </w:pPr>
      <w:r>
        <w:rPr>
          <w:b/>
          <w:spacing w:val="80"/>
          <w:sz w:val="40"/>
          <w:szCs w:val="40"/>
        </w:rPr>
        <w:t>INFORMACJA</w:t>
        <w:br/>
      </w:r>
      <w:r>
        <w:rPr>
          <w:b/>
          <w:sz w:val="32"/>
          <w:szCs w:val="32"/>
        </w:rPr>
        <w:t>KOMISARZA WYBORCZEGO</w:t>
        <w:br/>
        <w:t>W SZCZECINIE II</w:t>
      </w:r>
    </w:p>
    <w:p>
      <w:pPr>
        <w:pStyle w:val="Normal"/>
        <w:jc w:val="center"/>
        <w:rPr>
          <w:sz w:val="24"/>
          <w:szCs w:val="24"/>
        </w:rPr>
      </w:pPr>
      <w:r>
        <w:rPr>
          <w:b/>
          <w:sz w:val="32"/>
          <w:szCs w:val="32"/>
        </w:rPr>
        <w:t>z dnia 26 kwietnia 2019 r.</w:t>
        <w:br/>
      </w:r>
    </w:p>
    <w:p>
      <w:pPr>
        <w:pStyle w:val="BodyText3"/>
        <w:suppressAutoHyphens w:val="true"/>
        <w:spacing w:lineRule="auto" w:line="276"/>
        <w:ind w:right="283" w:hanging="0"/>
        <w:jc w:val="both"/>
        <w:rPr>
          <w:sz w:val="28"/>
          <w:szCs w:val="28"/>
        </w:rPr>
      </w:pPr>
      <w:r>
        <w:rPr>
          <w:szCs w:val="24"/>
        </w:rPr>
        <w:t>Na podstawie art. 16 § 1 ustawy z dnia 5 stycznia 2011 r. - Kodeks wyborczy (Dz. U. z 2019 r. poz. 684) Komisarz Wyborczy w Szczecinie II przekazuje informację o numerach oraz granicach obwodów głosowania, wyznaczonych siedzibach obwodowych komisji wyborczych oraz możliwości głosowania korespondencyjnego i przez pełnomocnika w wyborach do Parlamentu Europejskiego zarządzonych na dzień 26 maja 2019 r.:</w:t>
      </w:r>
    </w:p>
    <w:p>
      <w:pPr>
        <w:pStyle w:val="BodyText3"/>
        <w:suppressAutoHyphens w:val="true"/>
        <w:spacing w:lineRule="auto" w:line="276"/>
        <w:ind w:right="283" w:firstLine="709"/>
        <w:jc w:val="both"/>
        <w:rPr>
          <w:sz w:val="16"/>
          <w:szCs w:val="16"/>
        </w:rPr>
      </w:pPr>
      <w:r>
        <w:rPr>
          <w:sz w:val="16"/>
          <w:szCs w:val="16"/>
        </w:rPr>
      </w:r>
    </w:p>
    <w:tbl>
      <w:tblPr>
        <w:tblW w:w="159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1487"/>
        <w:gridCol w:w="7371"/>
        <w:gridCol w:w="7088"/>
      </w:tblGrid>
      <w:tr>
        <w:trPr>
          <w:trHeight w:val="1117" w:hRule="atLeast"/>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8"/>
                <w:szCs w:val="28"/>
              </w:rPr>
              <w:t>Nr obwodu głosowania</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8"/>
                <w:szCs w:val="28"/>
              </w:rPr>
              <w:t>Granice obwodu głosowania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8"/>
                <w:szCs w:val="28"/>
              </w:rPr>
              <w:t>Siedziba obwodowej komisji wyborczej</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2 Marca, Krótka, Księcia Barnima I, 1 Maja, Szkolna, Zabytkowa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 xml:space="preserve">Przedszkole Publiczne nr 4, ul. Zabytkowa 50, </w:t>
              <w:br/>
              <w:t>74-200 Pyrzyce</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2</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Adama Mickiewicza, Basenowa, Ignacego Krasickiego, Jana Kochanowskiego, Juliana Tuwima, Juliusza Słowackiego, Lipiańska, Młodych Techników, Sportowa, Podmiejska, Rycerza Przybora, Akacjowa, Marii Konopnickiej, Bolesława Leśmiana, Leopolda Staffa, Mikołaja Reja, Adama Asnyka, Jana Brzechwy, Jana Kasprowicza, Młyńska, Władysława Reymonta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Zespół Szkół nr 1, ul. Lipiańska 2, 74-200 Pyrzyce</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3</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Księcia Bogusława X, Księcia Józefa Poniatowskiego, Przyszłości, Tadeusza Kościuszki, Tadeusza Rejtana, Wały Chrobrego, Równa, Szczecińska, Żwirki i Wigury, Magazynowa, Dworcowa, Pod Lipami, Wojciecha Bartosza Głowackiego</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Szkoła Podstawowa w Pyrzycach, ul. Tadeusza Rejtana 6, 74-200 Pyrzyce</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4</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Plac Wolności, Stargardzka, Jana Pawła II, Wojska Polskiego, Gabriela Narutowicza, Wiosenna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 xml:space="preserve">Przedszkole Publiczne nr 3 z Oddziałem Integracyjnym, ul. Gabriela Narutowicza 5, </w:t>
              <w:br/>
              <w:t>74-200 Pyrzyce</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5</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Bankowa, Jana Henryka Dąbrowskiego, Jana Kilińskiego, Górna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Świetlica Spółdzielni Mieszkaniowej, ul. Jana Henryka Dąbrowskiego 15, 74-200 Pyrzyce</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6</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Ogrodowa, Kwiatowa, Niepodległości, Willowa, Różana, Poznańska, Owocowa, Ciepłownicza, Obojno, Staromiejska, Rolna, Polna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b/>
                <w:sz w:val="32"/>
                <w:szCs w:val="32"/>
              </w:rPr>
              <w:t>Szkoła Podstawowa z Oddziałami integ</w:t>
            </w:r>
            <w:r>
              <w:rPr>
                <w:b/>
                <w:sz w:val="32"/>
                <w:szCs w:val="32"/>
              </w:rPr>
              <w:t>r</w:t>
            </w:r>
            <w:r>
              <w:rPr>
                <w:b/>
                <w:sz w:val="32"/>
                <w:szCs w:val="32"/>
              </w:rPr>
              <w:t>acyjnymi, ul. Poznańska 2, 74-200 Pyrzyce</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7</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Słoneczna, Warszawska, Nad Potokiem, Henryka Sienkiewicza, Podgrodzie, gen. Władysława Sikorskiego, Czerwonomłyńska</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Świetlica Osiedla, ul. Słoneczna 11, 74-200 Pyrzyce</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8</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Żabów, Nieborowo, Rzepnowo, Młyny, Giżyn, Turze, Ryszewko</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 xml:space="preserve">Szkoła Podstawowa Żabów, Żabów 8, </w:t>
              <w:br/>
              <w:t>74-200 Pyrzyce</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9</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Stróżewo, Okunica, Czernice, Brzezin, Ryszewo</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 xml:space="preserve">Szkoła Podstawowa Okunica, Okunica 23, </w:t>
              <w:br/>
              <w:t>74-200 Pyrzyce</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10</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Brzesko, Letnin, Mechowo, Obromino</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 xml:space="preserve">Świetlica Wiejska Brzesko 119, Brzesko 119, </w:t>
              <w:br/>
              <w:t>74-211 Brzesko</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11</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Nowielin, Mielęcin, Pstrowice</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Świetlica Wiejska Mielęcin 42A, ul. Główna 42A, 74-230 Mielęcin</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12</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Krzemlin</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 xml:space="preserve">Świetlica Wiejska Krzemlin 28, Krzemlin 28, </w:t>
              <w:br/>
              <w:t>74-230 Mielęcin</w:t>
            </w:r>
          </w:p>
          <w:p>
            <w:pPr>
              <w:pStyle w:val="Normal"/>
              <w:spacing w:lineRule="auto" w:line="360"/>
              <w:jc w:val="center"/>
              <w:rPr>
                <w:b/>
                <w:b/>
                <w:sz w:val="32"/>
                <w:szCs w:val="32"/>
              </w:rPr>
            </w:pPr>
            <w:r>
              <w:rPr>
                <w:b/>
                <w:sz w:val="32"/>
                <w:szCs w:val="32"/>
              </w:rPr>
            </w:r>
          </w:p>
          <w:p>
            <w:pPr>
              <w:pStyle w:val="Normal"/>
              <w:spacing w:lineRule="auto" w:line="360"/>
              <w:jc w:val="center"/>
              <w:rPr>
                <w:bCs/>
                <w:sz w:val="24"/>
                <w:szCs w:val="24"/>
              </w:rPr>
            </w:pPr>
            <w:r>
              <w:rPr>
                <w:bCs/>
                <w:sz w:val="24"/>
                <w:szCs w:val="24"/>
              </w:rPr>
              <w:t>Lokal dostosowany do potrzeb wyborców niepełnosprawnych</w:t>
            </w:r>
          </w:p>
          <w:p>
            <w:pPr>
              <w:pStyle w:val="Normal"/>
              <w:spacing w:lineRule="auto" w:line="360"/>
              <w:jc w:val="center"/>
              <w:rPr>
                <w:bCs/>
                <w:sz w:val="24"/>
                <w:szCs w:val="24"/>
              </w:rPr>
            </w:pPr>
            <w:r>
              <w:rPr>
                <w:bCs/>
                <w:sz w:val="24"/>
                <w:szCs w:val="24"/>
              </w:rPr>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32"/>
                <w:szCs w:val="32"/>
              </w:rPr>
              <w:t>13</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32"/>
                <w:szCs w:val="32"/>
              </w:rPr>
              <w:t>Szpital Powiatowy w Pyrzycach</w:t>
            </w:r>
          </w:p>
        </w:tc>
        <w:tc>
          <w:tcPr>
            <w:tcW w:w="7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
                <w:b/>
                <w:sz w:val="32"/>
                <w:szCs w:val="32"/>
              </w:rPr>
            </w:pPr>
            <w:r>
              <w:rPr>
                <w:b/>
                <w:sz w:val="32"/>
                <w:szCs w:val="32"/>
              </w:rPr>
              <w:t>Szpital Powiatowy w Pyrzycach-sala konferencyjna, ul. Jana Pawła II 2, 74-200 Pyrzyce</w:t>
            </w:r>
          </w:p>
          <w:p>
            <w:pPr>
              <w:pStyle w:val="Normal"/>
              <w:spacing w:lineRule="auto" w:line="360"/>
              <w:jc w:val="center"/>
              <w:rPr>
                <w:bCs/>
                <w:sz w:val="24"/>
                <w:szCs w:val="24"/>
              </w:rPr>
            </w:pPr>
            <w:r>
              <w:rPr>
                <w:bCs/>
                <w:sz w:val="24"/>
                <w:szCs w:val="24"/>
              </w:rPr>
            </w:r>
          </w:p>
        </w:tc>
      </w:tr>
    </w:tbl>
    <w:p>
      <w:pPr>
        <w:pStyle w:val="Normal"/>
        <w:jc w:val="both"/>
        <w:rPr>
          <w:b/>
          <w:b/>
          <w:sz w:val="32"/>
          <w:szCs w:val="32"/>
        </w:rPr>
      </w:pPr>
      <w:r>
        <w:rPr>
          <w:b/>
          <w:sz w:val="32"/>
          <w:szCs w:val="32"/>
        </w:rPr>
      </w:r>
    </w:p>
    <w:p>
      <w:pPr>
        <w:pStyle w:val="Normal"/>
        <w:jc w:val="both"/>
        <w:rPr>
          <w:b/>
          <w:b/>
          <w:sz w:val="16"/>
          <w:szCs w:val="16"/>
        </w:rPr>
      </w:pPr>
      <w:r>
        <w:rPr>
          <w:b/>
          <w:sz w:val="16"/>
          <w:szCs w:val="16"/>
        </w:rPr>
      </w:r>
    </w:p>
    <w:p>
      <w:pPr>
        <w:pStyle w:val="Normal"/>
        <w:spacing w:lineRule="auto" w:line="276"/>
        <w:jc w:val="both"/>
        <w:rPr>
          <w:sz w:val="30"/>
          <w:szCs w:val="30"/>
        </w:rPr>
      </w:pPr>
      <w:r>
        <w:rPr>
          <w:b/>
          <w:sz w:val="30"/>
          <w:szCs w:val="30"/>
        </w:rPr>
        <w:t xml:space="preserve">Głosować korespondencyjnie </w:t>
      </w:r>
      <w:r>
        <w:rPr>
          <w:sz w:val="30"/>
          <w:szCs w:val="30"/>
        </w:rPr>
        <w:t xml:space="preserve">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Normal"/>
        <w:spacing w:lineRule="auto" w:line="276"/>
        <w:jc w:val="both"/>
        <w:rPr>
          <w:sz w:val="30"/>
          <w:szCs w:val="30"/>
        </w:rPr>
      </w:pPr>
      <w:r>
        <w:rPr>
          <w:sz w:val="30"/>
          <w:szCs w:val="30"/>
        </w:rPr>
        <w:t>1) całkowitej niezdolności do pracy i niezdolności do samodzielnej egzystencji;</w:t>
      </w:r>
    </w:p>
    <w:p>
      <w:pPr>
        <w:pStyle w:val="Normal"/>
        <w:spacing w:lineRule="auto" w:line="276"/>
        <w:jc w:val="both"/>
        <w:rPr>
          <w:sz w:val="30"/>
          <w:szCs w:val="30"/>
        </w:rPr>
      </w:pPr>
      <w:r>
        <w:rPr>
          <w:sz w:val="30"/>
          <w:szCs w:val="30"/>
        </w:rPr>
        <w:t xml:space="preserve">2) całkowitej niezdolności do pracy; </w:t>
      </w:r>
    </w:p>
    <w:p>
      <w:pPr>
        <w:pStyle w:val="Normal"/>
        <w:spacing w:lineRule="auto" w:line="276"/>
        <w:jc w:val="both"/>
        <w:rPr>
          <w:sz w:val="30"/>
          <w:szCs w:val="30"/>
        </w:rPr>
      </w:pPr>
      <w:r>
        <w:rPr>
          <w:sz w:val="30"/>
          <w:szCs w:val="30"/>
        </w:rPr>
        <w:t xml:space="preserve">3) niezdolności do samodzielnej egzystencji; </w:t>
      </w:r>
    </w:p>
    <w:p>
      <w:pPr>
        <w:pStyle w:val="Normal"/>
        <w:spacing w:lineRule="auto" w:line="276"/>
        <w:jc w:val="both"/>
        <w:rPr>
          <w:sz w:val="30"/>
          <w:szCs w:val="30"/>
        </w:rPr>
      </w:pPr>
      <w:r>
        <w:rPr>
          <w:sz w:val="30"/>
          <w:szCs w:val="30"/>
        </w:rPr>
        <w:t xml:space="preserve">4) o zaliczeniu do I grupy inwalidów; </w:t>
      </w:r>
    </w:p>
    <w:p>
      <w:pPr>
        <w:pStyle w:val="Normal"/>
        <w:spacing w:lineRule="auto" w:line="276"/>
        <w:jc w:val="both"/>
        <w:rPr>
          <w:sz w:val="30"/>
          <w:szCs w:val="30"/>
        </w:rPr>
      </w:pPr>
      <w:r>
        <w:rPr>
          <w:sz w:val="30"/>
          <w:szCs w:val="30"/>
        </w:rPr>
        <w:t xml:space="preserve">5) o zaliczeniu do II grupy inwalidów; </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w:t>
      </w:r>
    </w:p>
    <w:p>
      <w:pPr>
        <w:pStyle w:val="Normal"/>
        <w:spacing w:lineRule="auto" w:line="276" w:before="120" w:after="0"/>
        <w:jc w:val="both"/>
        <w:rPr>
          <w:b/>
          <w:b/>
          <w:sz w:val="30"/>
          <w:szCs w:val="30"/>
        </w:rPr>
      </w:pPr>
      <w:r>
        <w:rPr>
          <w:b/>
          <w:sz w:val="30"/>
          <w:szCs w:val="30"/>
        </w:rPr>
        <w:t>Zamiar głosowania korespondencyjnego powinien zostać zgłoszony do Komisarza Wyborczego w Szczecinie II najpóźniej do dnia 13 maja 2019 r.</w:t>
      </w:r>
    </w:p>
    <w:p>
      <w:pPr>
        <w:pStyle w:val="Normal"/>
        <w:spacing w:lineRule="auto" w:line="276" w:before="240" w:after="0"/>
        <w:jc w:val="both"/>
        <w:rPr>
          <w:sz w:val="30"/>
          <w:szCs w:val="30"/>
        </w:rPr>
      </w:pPr>
      <w:r>
        <w:rPr>
          <w:b/>
          <w:sz w:val="30"/>
          <w:szCs w:val="30"/>
        </w:rPr>
        <w:t xml:space="preserve">Głosować przez pełnomocnika </w:t>
      </w:r>
      <w:r>
        <w:rPr>
          <w:sz w:val="30"/>
          <w:szCs w:val="30"/>
        </w:rPr>
        <w:t>mogą</w:t>
      </w:r>
      <w:r>
        <w:rPr>
          <w:b/>
          <w:sz w:val="30"/>
          <w:szCs w:val="30"/>
        </w:rPr>
        <w:t xml:space="preserve"> </w:t>
      </w:r>
      <w:r>
        <w:rPr>
          <w:sz w:val="30"/>
          <w:szCs w:val="30"/>
        </w:rPr>
        <w:t xml:space="preserve">wyborcy którzy najpóźniej w dniu głosowania ukończą 75 lat lub posiadający orzeczenie </w:t>
        <w:br/>
        <w:t xml:space="preserve">o znacznym lub umiarkowanym stopniu niepełnosprawności, w rozumieniu ustawy z dnia 27 sierpnia 1997 r. o rehabilitacji zawodowej i społecznej oraz zatrudnianiu osób niepełnosprawnych, w tym także wyborcy posiadający orzeczenie organu </w:t>
        <w:br/>
        <w:t>rentowego o:</w:t>
      </w:r>
    </w:p>
    <w:p>
      <w:pPr>
        <w:pStyle w:val="Normal"/>
        <w:spacing w:lineRule="auto" w:line="276"/>
        <w:jc w:val="both"/>
        <w:rPr>
          <w:sz w:val="30"/>
          <w:szCs w:val="30"/>
        </w:rPr>
      </w:pPr>
      <w:r>
        <w:rPr>
          <w:sz w:val="30"/>
          <w:szCs w:val="30"/>
        </w:rPr>
        <w:t>1) całkowitej niezdolności do pracy i niezdolności do samodzielnej egzystencji;</w:t>
      </w:r>
    </w:p>
    <w:p>
      <w:pPr>
        <w:pStyle w:val="Normal"/>
        <w:spacing w:lineRule="auto" w:line="276"/>
        <w:jc w:val="both"/>
        <w:rPr>
          <w:sz w:val="30"/>
          <w:szCs w:val="30"/>
        </w:rPr>
      </w:pPr>
      <w:r>
        <w:rPr>
          <w:sz w:val="30"/>
          <w:szCs w:val="30"/>
        </w:rPr>
        <w:t>2) całkowitej niezdolności do pracy;</w:t>
      </w:r>
    </w:p>
    <w:p>
      <w:pPr>
        <w:pStyle w:val="Normal"/>
        <w:spacing w:lineRule="auto" w:line="276"/>
        <w:jc w:val="both"/>
        <w:rPr>
          <w:sz w:val="30"/>
          <w:szCs w:val="30"/>
        </w:rPr>
      </w:pPr>
      <w:r>
        <w:rPr>
          <w:sz w:val="30"/>
          <w:szCs w:val="30"/>
        </w:rPr>
        <w:t>3) niezdolności do samodzielnej egzystencji;</w:t>
      </w:r>
    </w:p>
    <w:p>
      <w:pPr>
        <w:pStyle w:val="Normal"/>
        <w:spacing w:lineRule="auto" w:line="276"/>
        <w:jc w:val="both"/>
        <w:rPr>
          <w:sz w:val="30"/>
          <w:szCs w:val="30"/>
        </w:rPr>
      </w:pPr>
      <w:r>
        <w:rPr>
          <w:sz w:val="30"/>
          <w:szCs w:val="30"/>
        </w:rPr>
        <w:t>4) o zaliczeniu do I grupy inwalidów;</w:t>
      </w:r>
    </w:p>
    <w:p>
      <w:pPr>
        <w:pStyle w:val="Normal"/>
        <w:spacing w:lineRule="auto" w:line="276"/>
        <w:jc w:val="both"/>
        <w:rPr>
          <w:sz w:val="30"/>
          <w:szCs w:val="30"/>
        </w:rPr>
      </w:pPr>
      <w:r>
        <w:rPr>
          <w:sz w:val="30"/>
          <w:szCs w:val="30"/>
        </w:rPr>
        <w:t xml:space="preserve">5) o zaliczeniu do II grupy inwalidów; </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w:t>
      </w:r>
    </w:p>
    <w:p>
      <w:pPr>
        <w:pStyle w:val="Normal"/>
        <w:spacing w:before="120" w:after="0"/>
        <w:jc w:val="both"/>
        <w:rPr>
          <w:b/>
          <w:b/>
          <w:sz w:val="30"/>
          <w:szCs w:val="30"/>
        </w:rPr>
      </w:pPr>
      <w:r>
        <w:rPr>
          <w:b/>
          <w:sz w:val="30"/>
          <w:szCs w:val="30"/>
        </w:rPr>
        <w:t>Wniosek o sporządzenie aktu pełnomocnictwa powinien zostać złożony do Burmistrza Pyrzyc najpóźniej do dnia 17 maja 2019 r.</w:t>
      </w:r>
    </w:p>
    <w:p>
      <w:pPr>
        <w:pStyle w:val="Normal"/>
        <w:spacing w:before="240" w:after="0"/>
        <w:jc w:val="both"/>
        <w:rPr>
          <w:b/>
          <w:b/>
          <w:sz w:val="32"/>
          <w:szCs w:val="32"/>
        </w:rPr>
      </w:pPr>
      <w:r>
        <w:rPr>
          <w:b/>
          <w:sz w:val="32"/>
          <w:szCs w:val="32"/>
        </w:rPr>
        <w:t>Głosowanie w lokalach wyborczych odbywać się będzie w dniu 26 maja 2019</w:t>
      </w:r>
      <w:r>
        <w:rPr>
          <w:b/>
          <w:i/>
          <w:sz w:val="32"/>
          <w:szCs w:val="32"/>
        </w:rPr>
        <w:t xml:space="preserve"> </w:t>
      </w:r>
      <w:r>
        <w:rPr>
          <w:b/>
          <w:sz w:val="32"/>
          <w:szCs w:val="32"/>
        </w:rPr>
        <w:t>r. od godz. 7</w:t>
      </w:r>
      <w:r>
        <w:rPr>
          <w:b/>
          <w:sz w:val="32"/>
          <w:szCs w:val="32"/>
          <w:vertAlign w:val="superscript"/>
        </w:rPr>
        <w:t>00</w:t>
      </w:r>
      <w:r>
        <w:rPr>
          <w:b/>
          <w:sz w:val="32"/>
          <w:szCs w:val="32"/>
        </w:rPr>
        <w:t xml:space="preserve"> do godz. 21</w:t>
      </w:r>
      <w:r>
        <w:rPr>
          <w:b/>
          <w:sz w:val="32"/>
          <w:szCs w:val="32"/>
          <w:vertAlign w:val="superscript"/>
        </w:rPr>
        <w:t>00</w:t>
      </w:r>
      <w:r>
        <w:rPr>
          <w:b/>
          <w:sz w:val="32"/>
          <w:szCs w:val="32"/>
        </w:rPr>
        <w:t>.</w:t>
      </w:r>
    </w:p>
    <w:p>
      <w:pPr>
        <w:pStyle w:val="Normal"/>
        <w:ind w:left="7513" w:hanging="0"/>
        <w:jc w:val="center"/>
        <w:rPr>
          <w:b/>
          <w:b/>
          <w:sz w:val="32"/>
          <w:szCs w:val="32"/>
        </w:rPr>
      </w:pPr>
      <w:r>
        <w:rPr>
          <w:b/>
          <w:sz w:val="32"/>
          <w:szCs w:val="32"/>
        </w:rPr>
      </w:r>
    </w:p>
    <w:p>
      <w:pPr>
        <w:pStyle w:val="Normal"/>
        <w:ind w:left="7513" w:hanging="0"/>
        <w:jc w:val="center"/>
        <w:rPr>
          <w:b/>
          <w:b/>
          <w:sz w:val="24"/>
          <w:szCs w:val="24"/>
        </w:rPr>
      </w:pPr>
      <w:r>
        <w:rPr>
          <w:b/>
          <w:sz w:val="24"/>
          <w:szCs w:val="24"/>
        </w:rPr>
        <w:t>Komisarz Wyborczy</w:t>
      </w:r>
    </w:p>
    <w:p>
      <w:pPr>
        <w:pStyle w:val="Normal"/>
        <w:ind w:left="7513" w:hanging="0"/>
        <w:jc w:val="center"/>
        <w:rPr>
          <w:sz w:val="24"/>
          <w:szCs w:val="24"/>
        </w:rPr>
      </w:pPr>
      <w:r>
        <w:rPr>
          <w:b/>
          <w:sz w:val="24"/>
          <w:szCs w:val="24"/>
        </w:rPr>
        <w:t>w Szczecinie II</w:t>
      </w:r>
    </w:p>
    <w:p>
      <w:pPr>
        <w:pStyle w:val="Normal"/>
        <w:ind w:left="6804" w:right="283" w:hanging="0"/>
        <w:jc w:val="center"/>
        <w:rPr>
          <w:sz w:val="24"/>
          <w:szCs w:val="24"/>
        </w:rPr>
      </w:pPr>
      <w:r>
        <w:rPr>
          <w:sz w:val="24"/>
          <w:szCs w:val="24"/>
        </w:rPr>
      </w:r>
    </w:p>
    <w:p>
      <w:pPr>
        <w:pStyle w:val="Nagwek6"/>
        <w:ind w:left="7513" w:hanging="0"/>
        <w:jc w:val="center"/>
        <w:rPr>
          <w:sz w:val="24"/>
          <w:szCs w:val="24"/>
        </w:rPr>
      </w:pPr>
      <w:r>
        <w:rPr>
          <w:sz w:val="24"/>
          <w:szCs w:val="24"/>
        </w:rPr>
        <w:t>/-/ Anna Sienkiewicz</w:t>
      </w:r>
    </w:p>
    <w:p>
      <w:pPr>
        <w:pStyle w:val="Normal"/>
        <w:ind w:right="283" w:hanging="0"/>
        <w:rPr/>
      </w:pPr>
      <w:r>
        <w:rPr/>
      </w:r>
    </w:p>
    <w:sectPr>
      <w:type w:val="nextPage"/>
      <w:pgSz w:w="16838" w:h="23811"/>
      <w:pgMar w:left="567" w:right="567" w:header="0" w:top="567" w:footer="0" w:bottom="426"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pl-PL" w:eastAsia="pl-PL" w:bidi="ar-SA"/>
    </w:rPr>
  </w:style>
  <w:style w:type="paragraph" w:styleId="Nagwek1">
    <w:name w:val="Nagłówek 1"/>
    <w:basedOn w:val="Normal"/>
    <w:qFormat/>
    <w:pPr>
      <w:keepNext/>
      <w:outlineLvl w:val="0"/>
    </w:pPr>
    <w:rPr>
      <w:sz w:val="28"/>
    </w:rPr>
  </w:style>
  <w:style w:type="paragraph" w:styleId="Nagwek2">
    <w:name w:val="Nagłówek 2"/>
    <w:basedOn w:val="Normal"/>
    <w:qFormat/>
    <w:pPr>
      <w:keepNext/>
      <w:jc w:val="center"/>
      <w:outlineLvl w:val="1"/>
    </w:pPr>
    <w:rPr>
      <w:sz w:val="28"/>
    </w:rPr>
  </w:style>
  <w:style w:type="paragraph" w:styleId="Nagwek3">
    <w:name w:val="Nagłówek 3"/>
    <w:basedOn w:val="Normal"/>
    <w:qFormat/>
    <w:pPr>
      <w:keepNext/>
      <w:outlineLvl w:val="2"/>
    </w:pPr>
    <w:rPr>
      <w:b/>
      <w:sz w:val="28"/>
    </w:rPr>
  </w:style>
  <w:style w:type="paragraph" w:styleId="Nagwek4">
    <w:name w:val="Nagłówek 4"/>
    <w:basedOn w:val="Normal"/>
    <w:qFormat/>
    <w:pPr>
      <w:keepNext/>
      <w:outlineLvl w:val="3"/>
    </w:pPr>
    <w:rPr>
      <w:b/>
      <w:sz w:val="24"/>
    </w:rPr>
  </w:style>
  <w:style w:type="paragraph" w:styleId="Nagwek5">
    <w:name w:val="Nagłówek 5"/>
    <w:basedOn w:val="Normal"/>
    <w:link w:val="Nagwek5Znak"/>
    <w:qFormat/>
    <w:pPr>
      <w:keepNext/>
      <w:jc w:val="center"/>
      <w:outlineLvl w:val="4"/>
    </w:pPr>
    <w:rPr>
      <w:b/>
      <w:sz w:val="24"/>
      <w:lang w:val="x-none" w:eastAsia="x-none"/>
    </w:rPr>
  </w:style>
  <w:style w:type="paragraph" w:styleId="Nagwek6">
    <w:name w:val="Nagłówek 6"/>
    <w:basedOn w:val="Normal"/>
    <w:qFormat/>
    <w:pPr>
      <w:keepNext/>
      <w:outlineLvl w:val="5"/>
    </w:pPr>
    <w:rPr>
      <w:b/>
      <w:i/>
      <w:sz w:val="28"/>
    </w:rPr>
  </w:style>
  <w:style w:type="paragraph" w:styleId="Nagwek7">
    <w:name w:val="Nagłówek 7"/>
    <w:basedOn w:val="Normal"/>
    <w:qFormat/>
    <w:pPr>
      <w:keepNext/>
      <w:jc w:val="center"/>
      <w:outlineLvl w:val="6"/>
    </w:pPr>
    <w:rPr>
      <w:sz w:val="24"/>
    </w:rPr>
  </w:style>
  <w:style w:type="paragraph" w:styleId="Nagwek8">
    <w:name w:val="Nagłówek 8"/>
    <w:basedOn w:val="Normal"/>
    <w:qFormat/>
    <w:pPr>
      <w:keepNext/>
      <w:outlineLvl w:val="7"/>
    </w:pPr>
    <w:rPr>
      <w:b/>
      <w:sz w:val="32"/>
    </w:rPr>
  </w:style>
  <w:style w:type="paragraph" w:styleId="Nagwek9">
    <w:name w:val="Nagłówek 9"/>
    <w:basedOn w:val="Normal"/>
    <w:qFormat/>
    <w:pPr>
      <w:keepNext/>
      <w:outlineLvl w:val="8"/>
    </w:pPr>
    <w:rPr>
      <w:sz w:val="24"/>
    </w:rPr>
  </w:style>
  <w:style w:type="character" w:styleId="DefaultParagraphFont" w:default="1">
    <w:name w:val="Default Paragraph Font"/>
    <w:uiPriority w:val="1"/>
    <w:semiHidden/>
    <w:unhideWhenUsed/>
    <w:qFormat/>
    <w:rPr/>
  </w:style>
  <w:style w:type="character" w:styleId="Czeinternetowe">
    <w:name w:val="Łącze internetowe"/>
    <w:rPr>
      <w:color w:val="0000FF"/>
      <w:u w:val="single"/>
    </w:rPr>
  </w:style>
  <w:style w:type="character" w:styleId="Nagwek5Znak" w:customStyle="1">
    <w:name w:val="Nagłówek 5 Znak"/>
    <w:link w:val="Nagwek5"/>
    <w:qFormat/>
    <w:rsid w:val="00582a5b"/>
    <w:rPr>
      <w:b/>
      <w:sz w:val="24"/>
    </w:rPr>
  </w:style>
  <w:style w:type="character" w:styleId="Strong">
    <w:name w:val="Strong"/>
    <w:uiPriority w:val="22"/>
    <w:qFormat/>
    <w:rsid w:val="003149ac"/>
    <w:rPr>
      <w:b/>
      <w:bCs/>
    </w:rPr>
  </w:style>
  <w:style w:type="character" w:styleId="TekstdymkaZnak" w:customStyle="1">
    <w:name w:val="Tekst dymka Znak"/>
    <w:basedOn w:val="DefaultParagraphFont"/>
    <w:link w:val="Tekstdymka"/>
    <w:uiPriority w:val="99"/>
    <w:semiHidden/>
    <w:qFormat/>
    <w:rsid w:val="00c400f7"/>
    <w:rPr>
      <w:rFonts w:ascii="Tahoma" w:hAnsi="Tahoma" w:cs="Tahoma"/>
      <w:sz w:val="16"/>
      <w:szCs w:val="16"/>
    </w:rPr>
  </w:style>
  <w:style w:type="character" w:styleId="ListLabel1">
    <w:name w:val="ListLabel 1"/>
    <w:qFormat/>
    <w:rPr>
      <w:b/>
      <w:sz w:val="24"/>
    </w:rPr>
  </w:style>
  <w:style w:type="character" w:styleId="ListLabel2">
    <w:name w:val="ListLabel 2"/>
    <w:qFormat/>
    <w:rPr>
      <w:sz w:val="24"/>
    </w:rPr>
  </w:style>
  <w:style w:type="character" w:styleId="ListLabel3">
    <w:name w:val="ListLabel 3"/>
    <w:qFormat/>
    <w:rPr>
      <w:rFonts w:eastAsia="Times New Roman" w:cs="Times New Roma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jc w:val="center"/>
    </w:pPr>
    <w:rPr>
      <w:b/>
      <w:sz w:val="72"/>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odyText3">
    <w:name w:val="Body Text 3"/>
    <w:basedOn w:val="Normal"/>
    <w:qFormat/>
    <w:pPr/>
    <w:rPr>
      <w:sz w:val="24"/>
    </w:rPr>
  </w:style>
  <w:style w:type="paragraph" w:styleId="Tytu">
    <w:name w:val="Tytuł"/>
    <w:basedOn w:val="Normal"/>
    <w:qFormat/>
    <w:pPr>
      <w:jc w:val="center"/>
    </w:pPr>
    <w:rPr>
      <w:sz w:val="28"/>
    </w:rPr>
  </w:style>
  <w:style w:type="paragraph" w:styleId="BodyText2">
    <w:name w:val="Body Text 2"/>
    <w:basedOn w:val="Normal"/>
    <w:qFormat/>
    <w:pPr>
      <w:jc w:val="center"/>
    </w:pPr>
    <w:rPr>
      <w:b/>
      <w:sz w:val="96"/>
    </w:rPr>
  </w:style>
  <w:style w:type="paragraph" w:styleId="Caption">
    <w:name w:val="caption"/>
    <w:basedOn w:val="Normal"/>
    <w:qFormat/>
    <w:pPr/>
    <w:rPr>
      <w:b/>
      <w:sz w:val="24"/>
    </w:rPr>
  </w:style>
  <w:style w:type="paragraph" w:styleId="Footnotetext">
    <w:name w:val="footnote text"/>
    <w:basedOn w:val="Normal"/>
    <w:semiHidden/>
    <w:qFormat/>
    <w:rsid w:val="00e20273"/>
    <w:pPr/>
    <w:rPr/>
  </w:style>
  <w:style w:type="paragraph" w:styleId="BalloonText">
    <w:name w:val="Balloon Text"/>
    <w:basedOn w:val="Normal"/>
    <w:link w:val="TekstdymkaZnak"/>
    <w:uiPriority w:val="99"/>
    <w:semiHidden/>
    <w:qFormat/>
    <w:rsid w:val="00804038"/>
    <w:pPr/>
    <w:rPr>
      <w:rFonts w:ascii="Tahoma" w:hAnsi="Tahoma" w:cs="Tahoma"/>
      <w:sz w:val="16"/>
      <w:szCs w:val="16"/>
    </w:rPr>
  </w:style>
  <w:style w:type="paragraph" w:styleId="Default" w:customStyle="1">
    <w:name w:val="Default"/>
    <w:qFormat/>
    <w:rsid w:val="005959a8"/>
    <w:pPr>
      <w:widowControl/>
      <w:bidi w:val="0"/>
      <w:jc w:val="left"/>
    </w:pPr>
    <w:rPr>
      <w:rFonts w:ascii="Times New Roman" w:hAnsi="Times New Roman" w:eastAsia="Times New Roman" w:cs="Times New Roman"/>
      <w:color w:val="000000"/>
      <w:sz w:val="24"/>
      <w:szCs w:val="24"/>
      <w:lang w:val="pl-PL" w:eastAsia="pl-PL" w:bidi="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8291-7F76-40EA-9C5E-EA453337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LibreOffice/5.0.3.2$Windows_X86_64 LibreOffice_project/e5f16313668ac592c1bfb310f4390624e3dbfb75</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2018-08-01T11:09:00Z</dcterms:created>
  <dc:creator>Dyrektor</dc:creator>
  <dc:language>pl-PL</dc:language>
  <cp:lastPrinted>2019-04-26T12:03:50Z</cp:lastPrinted>
  <dcterms:modified xsi:type="dcterms:W3CDTF">2019-04-26T12:11:09Z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