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98202" w14:textId="3EF39019" w:rsidR="00E47367" w:rsidRDefault="00F64E6B" w:rsidP="00C91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4E6B">
        <w:rPr>
          <w:rFonts w:ascii="Arial" w:hAnsi="Arial" w:cs="Arial"/>
          <w:b/>
          <w:bCs/>
          <w:sz w:val="20"/>
          <w:szCs w:val="20"/>
        </w:rPr>
        <w:tab/>
      </w:r>
      <w:r w:rsidRPr="00F64E6B">
        <w:rPr>
          <w:rFonts w:ascii="Arial" w:hAnsi="Arial" w:cs="Arial"/>
          <w:b/>
          <w:bCs/>
          <w:sz w:val="20"/>
          <w:szCs w:val="20"/>
        </w:rPr>
        <w:tab/>
      </w:r>
      <w:r w:rsidRPr="00F64E6B">
        <w:rPr>
          <w:rFonts w:ascii="Arial" w:hAnsi="Arial" w:cs="Arial"/>
          <w:b/>
          <w:bCs/>
          <w:sz w:val="20"/>
          <w:szCs w:val="20"/>
        </w:rPr>
        <w:tab/>
      </w:r>
      <w:r w:rsidRPr="00F64E6B">
        <w:rPr>
          <w:rFonts w:ascii="Arial" w:hAnsi="Arial" w:cs="Arial"/>
          <w:b/>
          <w:bCs/>
          <w:sz w:val="20"/>
          <w:szCs w:val="20"/>
        </w:rPr>
        <w:tab/>
      </w:r>
      <w:r w:rsidRPr="00F64E6B">
        <w:rPr>
          <w:rFonts w:ascii="Arial" w:hAnsi="Arial" w:cs="Arial"/>
          <w:b/>
          <w:bCs/>
          <w:sz w:val="20"/>
          <w:szCs w:val="20"/>
        </w:rPr>
        <w:tab/>
      </w:r>
      <w:r w:rsidRPr="00DD03D0">
        <w:rPr>
          <w:rFonts w:ascii="Arial" w:hAnsi="Arial" w:cs="Arial"/>
          <w:sz w:val="24"/>
          <w:szCs w:val="24"/>
        </w:rPr>
        <w:t>Załącznik Nr 2</w:t>
      </w:r>
      <w:r w:rsidRPr="00DD03D0">
        <w:rPr>
          <w:rFonts w:ascii="Arial" w:hAnsi="Arial" w:cs="Arial"/>
          <w:sz w:val="24"/>
          <w:szCs w:val="24"/>
        </w:rPr>
        <w:br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="0071049D">
        <w:rPr>
          <w:rFonts w:ascii="Arial" w:hAnsi="Arial" w:cs="Arial"/>
          <w:sz w:val="24"/>
          <w:szCs w:val="24"/>
        </w:rPr>
        <w:t xml:space="preserve">        </w:t>
      </w:r>
      <w:r w:rsidR="00500009">
        <w:rPr>
          <w:rFonts w:ascii="Arial" w:hAnsi="Arial" w:cs="Arial"/>
          <w:sz w:val="24"/>
          <w:szCs w:val="24"/>
        </w:rPr>
        <w:t xml:space="preserve">   </w:t>
      </w:r>
      <w:r w:rsidRPr="00DD03D0">
        <w:rPr>
          <w:rFonts w:ascii="Arial" w:hAnsi="Arial" w:cs="Arial"/>
          <w:sz w:val="24"/>
          <w:szCs w:val="24"/>
        </w:rPr>
        <w:t xml:space="preserve">do Uchwały Nr </w:t>
      </w:r>
      <w:r w:rsidR="00500009">
        <w:rPr>
          <w:rFonts w:ascii="Arial" w:hAnsi="Arial" w:cs="Arial"/>
          <w:sz w:val="24"/>
          <w:szCs w:val="24"/>
        </w:rPr>
        <w:t>XLVII/360</w:t>
      </w:r>
      <w:r w:rsidRPr="00DD03D0">
        <w:rPr>
          <w:rFonts w:ascii="Arial" w:hAnsi="Arial" w:cs="Arial"/>
          <w:sz w:val="24"/>
          <w:szCs w:val="24"/>
        </w:rPr>
        <w:t>/2</w:t>
      </w:r>
      <w:r w:rsidR="005069A1">
        <w:rPr>
          <w:rFonts w:ascii="Arial" w:hAnsi="Arial" w:cs="Arial"/>
          <w:sz w:val="24"/>
          <w:szCs w:val="24"/>
        </w:rPr>
        <w:t>2</w:t>
      </w:r>
      <w:r w:rsidRPr="00DD03D0">
        <w:rPr>
          <w:rFonts w:ascii="Arial" w:hAnsi="Arial" w:cs="Arial"/>
          <w:sz w:val="24"/>
          <w:szCs w:val="24"/>
        </w:rPr>
        <w:br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  <w:t xml:space="preserve">Rady Miejskiej </w:t>
      </w:r>
      <w:r w:rsidR="0071049D">
        <w:rPr>
          <w:rFonts w:ascii="Arial" w:hAnsi="Arial" w:cs="Arial"/>
          <w:sz w:val="24"/>
          <w:szCs w:val="24"/>
        </w:rPr>
        <w:t xml:space="preserve">w </w:t>
      </w:r>
      <w:r w:rsidRPr="00DD03D0">
        <w:rPr>
          <w:rFonts w:ascii="Arial" w:hAnsi="Arial" w:cs="Arial"/>
          <w:sz w:val="24"/>
          <w:szCs w:val="24"/>
        </w:rPr>
        <w:t>Pyrzycach</w:t>
      </w:r>
      <w:r w:rsidRPr="00DD03D0">
        <w:rPr>
          <w:rFonts w:ascii="Arial" w:hAnsi="Arial" w:cs="Arial"/>
          <w:sz w:val="24"/>
          <w:szCs w:val="24"/>
        </w:rPr>
        <w:br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Pr="00DD03D0">
        <w:rPr>
          <w:rFonts w:ascii="Arial" w:hAnsi="Arial" w:cs="Arial"/>
          <w:sz w:val="24"/>
          <w:szCs w:val="24"/>
        </w:rPr>
        <w:tab/>
      </w:r>
      <w:r w:rsidR="0071049D">
        <w:rPr>
          <w:rFonts w:ascii="Arial" w:hAnsi="Arial" w:cs="Arial"/>
          <w:sz w:val="24"/>
          <w:szCs w:val="24"/>
        </w:rPr>
        <w:t xml:space="preserve">    </w:t>
      </w:r>
      <w:r w:rsidRPr="00DD03D0">
        <w:rPr>
          <w:rFonts w:ascii="Arial" w:hAnsi="Arial" w:cs="Arial"/>
          <w:sz w:val="24"/>
          <w:szCs w:val="24"/>
        </w:rPr>
        <w:t xml:space="preserve">z dnia </w:t>
      </w:r>
      <w:r w:rsidR="00DC2E44" w:rsidRPr="00DD03D0">
        <w:rPr>
          <w:rFonts w:ascii="Arial" w:hAnsi="Arial" w:cs="Arial"/>
          <w:sz w:val="24"/>
          <w:szCs w:val="24"/>
        </w:rPr>
        <w:t>3</w:t>
      </w:r>
      <w:r w:rsidR="005069A1">
        <w:rPr>
          <w:rFonts w:ascii="Arial" w:hAnsi="Arial" w:cs="Arial"/>
          <w:sz w:val="24"/>
          <w:szCs w:val="24"/>
        </w:rPr>
        <w:t>1 marca 2022</w:t>
      </w:r>
      <w:r w:rsidRPr="00DD03D0">
        <w:rPr>
          <w:rFonts w:ascii="Arial" w:hAnsi="Arial" w:cs="Arial"/>
          <w:sz w:val="24"/>
          <w:szCs w:val="24"/>
        </w:rPr>
        <w:t>r.</w:t>
      </w:r>
    </w:p>
    <w:p w14:paraId="2845D0C5" w14:textId="77777777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Theme="minorEastAsia" w:hAnsi="Arial" w:cs="Times New Roman"/>
          <w:sz w:val="24"/>
          <w:szCs w:val="24"/>
          <w:lang w:eastAsia="pl-PL"/>
        </w:rPr>
      </w:pPr>
      <w:r w:rsidRPr="00E47367">
        <w:rPr>
          <w:rFonts w:ascii="Arial" w:eastAsiaTheme="minorEastAsia" w:hAnsi="Arial" w:cs="Arial"/>
          <w:b/>
          <w:sz w:val="24"/>
          <w:szCs w:val="24"/>
          <w:lang w:eastAsia="pl-PL"/>
        </w:rPr>
        <w:t>UZASADNIENIE</w:t>
      </w:r>
    </w:p>
    <w:p w14:paraId="1966CF57" w14:textId="77777777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Theme="minorEastAsia" w:hAnsi="Arial" w:cs="Times New Roman"/>
          <w:sz w:val="24"/>
          <w:szCs w:val="24"/>
          <w:lang w:eastAsia="pl-PL"/>
        </w:rPr>
      </w:pPr>
      <w:r w:rsidRPr="00E47367">
        <w:rPr>
          <w:rFonts w:ascii="Arial" w:eastAsiaTheme="minorEastAsia" w:hAnsi="Arial" w:cs="Arial"/>
          <w:b/>
          <w:sz w:val="24"/>
          <w:szCs w:val="24"/>
          <w:lang w:eastAsia="pl-PL"/>
        </w:rPr>
        <w:t>Objaśnienia przyjętych wartości do Wieloletniej Prognozy Finansowej Gminy Pyrzyce na lata 2022-2030.</w:t>
      </w:r>
    </w:p>
    <w:p w14:paraId="182CF1CF" w14:textId="2B4FD17C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Times New Roman"/>
          <w:szCs w:val="24"/>
          <w:lang w:eastAsia="pl-PL"/>
        </w:rPr>
      </w:pPr>
      <w:r w:rsidRPr="00E47367">
        <w:rPr>
          <w:rFonts w:ascii="Arial" w:eastAsiaTheme="minorEastAsia" w:hAnsi="Arial" w:cs="Arial"/>
          <w:szCs w:val="24"/>
          <w:lang w:eastAsia="pl-PL"/>
        </w:rPr>
        <w:t xml:space="preserve">Zgodnie ze zmianami w budżecie w 2022 roku, dokonano </w:t>
      </w:r>
      <w:r w:rsidR="000B2C21">
        <w:rPr>
          <w:rFonts w:ascii="Arial" w:eastAsiaTheme="minorEastAsia" w:hAnsi="Arial" w:cs="Arial"/>
          <w:szCs w:val="24"/>
          <w:lang w:eastAsia="pl-PL"/>
        </w:rPr>
        <w:t>od 01.01.2022</w:t>
      </w:r>
      <w:r w:rsidR="00902EA6">
        <w:rPr>
          <w:rFonts w:ascii="Arial" w:eastAsiaTheme="minorEastAsia" w:hAnsi="Arial" w:cs="Arial"/>
          <w:szCs w:val="24"/>
          <w:lang w:eastAsia="pl-PL"/>
        </w:rPr>
        <w:t xml:space="preserve"> </w:t>
      </w:r>
      <w:bookmarkStart w:id="0" w:name="_GoBack"/>
      <w:bookmarkEnd w:id="0"/>
      <w:r w:rsidR="000B2C21">
        <w:rPr>
          <w:rFonts w:ascii="Arial" w:eastAsiaTheme="minorEastAsia" w:hAnsi="Arial" w:cs="Arial"/>
          <w:szCs w:val="24"/>
          <w:lang w:eastAsia="pl-PL"/>
        </w:rPr>
        <w:t xml:space="preserve">r. </w:t>
      </w:r>
      <w:r w:rsidRPr="00E47367">
        <w:rPr>
          <w:rFonts w:ascii="Arial" w:eastAsiaTheme="minorEastAsia" w:hAnsi="Arial" w:cs="Arial"/>
          <w:szCs w:val="24"/>
          <w:lang w:eastAsia="pl-PL"/>
        </w:rPr>
        <w:t>następujących zmian w Wieloletniej Prognozie Finansowej Gminy Pyrzyce na lata 2022-2030:</w:t>
      </w:r>
    </w:p>
    <w:p w14:paraId="0F454454" w14:textId="792DD473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Times New Roman"/>
          <w:szCs w:val="24"/>
          <w:lang w:eastAsia="pl-PL"/>
        </w:rPr>
      </w:pPr>
      <w:r w:rsidRPr="00E47367">
        <w:rPr>
          <w:rFonts w:ascii="Arial" w:eastAsiaTheme="minorEastAsia" w:hAnsi="Arial" w:cs="Arial"/>
          <w:szCs w:val="24"/>
          <w:lang w:eastAsia="pl-PL"/>
        </w:rPr>
        <w:t>Kwota dochodów została zwiększona o 1 740 689,82 zł, z czego dochody bieżące wzrosły o 2 537 992,80 zł, a dochody majątkowe zmalały o 797 302,98 zł, co jest zgodne ze stanem budżetu Gminy Pyrzyce na dzień 31.03.2022 r.</w:t>
      </w:r>
      <w:r w:rsidR="000B2C21">
        <w:rPr>
          <w:rFonts w:ascii="Arial" w:eastAsiaTheme="minorEastAsia" w:hAnsi="Arial" w:cs="Arial"/>
          <w:szCs w:val="24"/>
          <w:lang w:eastAsia="pl-PL"/>
        </w:rPr>
        <w:t xml:space="preserve"> (wg prze</w:t>
      </w:r>
      <w:r w:rsidR="00C41F67">
        <w:rPr>
          <w:rFonts w:ascii="Arial" w:eastAsiaTheme="minorEastAsia" w:hAnsi="Arial" w:cs="Arial"/>
          <w:szCs w:val="24"/>
          <w:lang w:eastAsia="pl-PL"/>
        </w:rPr>
        <w:t>d</w:t>
      </w:r>
      <w:r w:rsidR="000B2C21">
        <w:rPr>
          <w:rFonts w:ascii="Arial" w:eastAsiaTheme="minorEastAsia" w:hAnsi="Arial" w:cs="Arial"/>
          <w:szCs w:val="24"/>
          <w:lang w:eastAsia="pl-PL"/>
        </w:rPr>
        <w:t>stawionego projektu zmian Uchwały budżetowej oraz zmian Wieloletniej Prognozy Finansowej).</w:t>
      </w:r>
    </w:p>
    <w:p w14:paraId="6F5B11D8" w14:textId="6E3C44D9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Times New Roman"/>
          <w:szCs w:val="24"/>
          <w:lang w:eastAsia="pl-PL"/>
        </w:rPr>
      </w:pPr>
      <w:r w:rsidRPr="00E47367">
        <w:rPr>
          <w:rFonts w:ascii="Arial" w:eastAsiaTheme="minorEastAsia" w:hAnsi="Arial" w:cs="Arial"/>
          <w:szCs w:val="24"/>
          <w:lang w:eastAsia="pl-PL"/>
        </w:rPr>
        <w:t>Kwota wydatków została zwiększona o 9 209 438,91 zł, z czego wydatki bieżące wzrosły o 3 123 514,28 zł, a wydatki majątkowe wzrosły o 6 085 924,63 zł, co jest zgodne ze stanem budżetu Gminy Pyrzyce na dzień 31.03.2022 r.</w:t>
      </w:r>
      <w:r w:rsidR="000B2C21">
        <w:rPr>
          <w:rFonts w:ascii="Arial" w:eastAsiaTheme="minorEastAsia" w:hAnsi="Arial" w:cs="Arial"/>
          <w:szCs w:val="24"/>
          <w:lang w:eastAsia="pl-PL"/>
        </w:rPr>
        <w:t xml:space="preserve"> (wg prze</w:t>
      </w:r>
      <w:r w:rsidR="00C41F67">
        <w:rPr>
          <w:rFonts w:ascii="Arial" w:eastAsiaTheme="minorEastAsia" w:hAnsi="Arial" w:cs="Arial"/>
          <w:szCs w:val="24"/>
          <w:lang w:eastAsia="pl-PL"/>
        </w:rPr>
        <w:t>d</w:t>
      </w:r>
      <w:r w:rsidR="000B2C21">
        <w:rPr>
          <w:rFonts w:ascii="Arial" w:eastAsiaTheme="minorEastAsia" w:hAnsi="Arial" w:cs="Arial"/>
          <w:szCs w:val="24"/>
          <w:lang w:eastAsia="pl-PL"/>
        </w:rPr>
        <w:t>stawionego projektu zmian Uchwały budżetowej oraz zmian Wieloletniej Prognozy Finansowej).</w:t>
      </w:r>
    </w:p>
    <w:p w14:paraId="13C888AD" w14:textId="652D34DA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Times New Roman"/>
          <w:szCs w:val="24"/>
          <w:lang w:eastAsia="pl-PL"/>
        </w:rPr>
      </w:pPr>
      <w:r w:rsidRPr="00E47367">
        <w:rPr>
          <w:rFonts w:ascii="Arial" w:eastAsiaTheme="minorEastAsia" w:hAnsi="Arial" w:cs="Arial"/>
          <w:szCs w:val="24"/>
          <w:lang w:eastAsia="pl-PL"/>
        </w:rPr>
        <w:t>Po dokonaniu powyższych zmian wynik budżetu jest deficytowy i wg planu na dzień 31.03.2022 r. wynosi -</w:t>
      </w:r>
      <w:r w:rsidR="000B2C21">
        <w:rPr>
          <w:rFonts w:ascii="Arial" w:eastAsiaTheme="minorEastAsia" w:hAnsi="Arial" w:cs="Arial"/>
          <w:szCs w:val="24"/>
          <w:lang w:eastAsia="pl-PL"/>
        </w:rPr>
        <w:t xml:space="preserve"> </w:t>
      </w:r>
      <w:r w:rsidRPr="00E47367">
        <w:rPr>
          <w:rFonts w:ascii="Arial" w:eastAsiaTheme="minorEastAsia" w:hAnsi="Arial" w:cs="Arial"/>
          <w:szCs w:val="24"/>
          <w:lang w:eastAsia="pl-PL"/>
        </w:rPr>
        <w:t>9 468 749,09 zł</w:t>
      </w:r>
      <w:r w:rsidR="000B2C21">
        <w:rPr>
          <w:rFonts w:ascii="Arial" w:eastAsiaTheme="minorEastAsia" w:hAnsi="Arial" w:cs="Arial"/>
          <w:szCs w:val="24"/>
          <w:lang w:eastAsia="pl-PL"/>
        </w:rPr>
        <w:t>.</w:t>
      </w:r>
    </w:p>
    <w:p w14:paraId="0F301C68" w14:textId="192A2974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Times New Roman"/>
          <w:szCs w:val="24"/>
          <w:lang w:eastAsia="pl-PL"/>
        </w:rPr>
      </w:pPr>
      <w:r w:rsidRPr="00E47367">
        <w:rPr>
          <w:rFonts w:ascii="Arial" w:eastAsiaTheme="minorEastAsia" w:hAnsi="Arial" w:cs="Arial"/>
          <w:b/>
          <w:szCs w:val="24"/>
          <w:lang w:eastAsia="pl-PL"/>
        </w:rPr>
        <w:t xml:space="preserve">Tabela 1. Zmiany w dochodach i wydatkach </w:t>
      </w:r>
      <w:r w:rsidR="004D6CEE">
        <w:rPr>
          <w:rFonts w:ascii="Arial" w:eastAsiaTheme="minorEastAsia" w:hAnsi="Arial" w:cs="Arial"/>
          <w:b/>
          <w:szCs w:val="24"/>
          <w:lang w:eastAsia="pl-PL"/>
        </w:rPr>
        <w:t xml:space="preserve">oraz wynik budżetu </w:t>
      </w:r>
      <w:r w:rsidRPr="00E47367">
        <w:rPr>
          <w:rFonts w:ascii="Arial" w:eastAsiaTheme="minorEastAsia" w:hAnsi="Arial" w:cs="Arial"/>
          <w:b/>
          <w:szCs w:val="24"/>
          <w:lang w:eastAsia="pl-PL"/>
        </w:rPr>
        <w:t>w 2022 roku</w:t>
      </w:r>
      <w:r w:rsidR="004D6CEE">
        <w:rPr>
          <w:rFonts w:ascii="Arial" w:eastAsiaTheme="minorEastAsia" w:hAnsi="Arial" w:cs="Arial"/>
          <w:b/>
          <w:szCs w:val="24"/>
          <w:lang w:eastAsia="pl-PL"/>
        </w:rPr>
        <w:t xml:space="preserve"> </w:t>
      </w:r>
      <w:r w:rsidR="004D6CEE">
        <w:rPr>
          <w:rFonts w:ascii="Arial" w:eastAsiaTheme="minorEastAsia" w:hAnsi="Arial" w:cs="Arial"/>
          <w:szCs w:val="24"/>
          <w:lang w:eastAsia="pl-PL"/>
        </w:rPr>
        <w:t>(wg prze</w:t>
      </w:r>
      <w:r w:rsidR="00C41F67">
        <w:rPr>
          <w:rFonts w:ascii="Arial" w:eastAsiaTheme="minorEastAsia" w:hAnsi="Arial" w:cs="Arial"/>
          <w:szCs w:val="24"/>
          <w:lang w:eastAsia="pl-PL"/>
        </w:rPr>
        <w:t>d</w:t>
      </w:r>
      <w:r w:rsidR="004D6CEE">
        <w:rPr>
          <w:rFonts w:ascii="Arial" w:eastAsiaTheme="minorEastAsia" w:hAnsi="Arial" w:cs="Arial"/>
          <w:szCs w:val="24"/>
          <w:lang w:eastAsia="pl-PL"/>
        </w:rPr>
        <w:t>stawionego projektu zmian Uchwały budżetowej oraz zmian Wieloletniej Prognozy Finansowej).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E47367" w:rsidRPr="00E47367" w14:paraId="3968A8C5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872A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7BC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390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65A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Po zmianie</w:t>
            </w:r>
          </w:p>
        </w:tc>
      </w:tr>
      <w:tr w:rsidR="00E47367" w:rsidRPr="00E47367" w14:paraId="7F498B78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1BE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09A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82 357 879,78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9A70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+1 740 689,82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CB0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84 098 569,60 zł</w:t>
            </w:r>
          </w:p>
        </w:tc>
      </w:tr>
      <w:tr w:rsidR="00E47367" w:rsidRPr="00E47367" w14:paraId="2BE72F46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B2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dochody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0F5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79 875 021,27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FA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+2 537 992,80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B2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82 413 014,07 zł</w:t>
            </w:r>
          </w:p>
        </w:tc>
      </w:tr>
      <w:tr w:rsidR="00E47367" w:rsidRPr="00E47367" w14:paraId="5510C6D4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6F0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z subwencji ogólnej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C1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25 004 481,00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642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+24 104,00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2A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25 028 585,00 zł</w:t>
            </w:r>
          </w:p>
        </w:tc>
      </w:tr>
      <w:tr w:rsidR="00E47367" w:rsidRPr="00E47367" w14:paraId="7B3D9310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505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z tytułu dotacji bieżących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12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16 605 566,00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9F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+2 390 888,80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9DA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18 996 454,80 zł</w:t>
            </w:r>
          </w:p>
        </w:tc>
      </w:tr>
      <w:tr w:rsidR="00E47367" w:rsidRPr="00E47367" w14:paraId="63C62D3D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8F9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pozostałe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AB30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24 415 560,27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2C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+123 000,00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B9F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24 538 560,27 zł</w:t>
            </w:r>
          </w:p>
        </w:tc>
      </w:tr>
      <w:tr w:rsidR="00E47367" w:rsidRPr="00E47367" w14:paraId="212E73A1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C21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dochody majątkowe,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83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2 482 858,51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10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-797 302,98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7D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1 685 555,53 zł</w:t>
            </w:r>
          </w:p>
        </w:tc>
      </w:tr>
      <w:tr w:rsidR="00E47367" w:rsidRPr="00E47367" w14:paraId="1CDECDE6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9D84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z tytułu dotacji i środków przeznaczonych na inwestycje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302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1 963 858,51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417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-797 302,98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15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1 166 555,53 zł</w:t>
            </w:r>
          </w:p>
        </w:tc>
      </w:tr>
      <w:tr w:rsidR="00E47367" w:rsidRPr="00E47367" w14:paraId="1F38CF86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27E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F9F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84 357 879,78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40D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+9 209 438,91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6E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93 567 318,69 zł</w:t>
            </w:r>
          </w:p>
        </w:tc>
      </w:tr>
      <w:tr w:rsidR="00E47367" w:rsidRPr="00E47367" w14:paraId="3A1F9751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139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4BA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79 874 972,72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86C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+3 123 514,28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3CF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82 998 487,00 zł</w:t>
            </w:r>
          </w:p>
        </w:tc>
      </w:tr>
      <w:tr w:rsidR="00E47367" w:rsidRPr="00E47367" w14:paraId="476BACB2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45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58E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34 878 111,12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6A8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-302 203,58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592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34 575 907,54 zł</w:t>
            </w:r>
          </w:p>
        </w:tc>
      </w:tr>
      <w:tr w:rsidR="00E47367" w:rsidRPr="00E47367" w14:paraId="102B00B3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0FD8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984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4 482 907,06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61B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+6 085 924,63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437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10 568 831,69 zł</w:t>
            </w:r>
          </w:p>
        </w:tc>
      </w:tr>
      <w:tr w:rsidR="00E47367" w:rsidRPr="00E47367" w14:paraId="57D4525C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7C7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B256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-2 000 000,00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D4C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-7 468 749,09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791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-9 468 749,09 zł</w:t>
            </w:r>
          </w:p>
        </w:tc>
      </w:tr>
    </w:tbl>
    <w:p w14:paraId="076887B7" w14:textId="77777777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  <w:szCs w:val="24"/>
          <w:lang w:eastAsia="pl-PL"/>
        </w:rPr>
      </w:pPr>
    </w:p>
    <w:p w14:paraId="502B275C" w14:textId="77777777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  <w:szCs w:val="24"/>
          <w:lang w:eastAsia="pl-PL"/>
        </w:rPr>
      </w:pPr>
      <w:r w:rsidRPr="00E47367">
        <w:rPr>
          <w:rFonts w:ascii="Arial" w:eastAsiaTheme="minorEastAsia" w:hAnsi="Arial" w:cs="Times New Roman"/>
          <w:szCs w:val="24"/>
          <w:lang w:eastAsia="pl-PL"/>
        </w:rPr>
        <w:lastRenderedPageBreak/>
        <w:t>W Wieloletniej Prognozie Finansowej Gminy Pyrzyce dokonano zwiększenia przychodów w roku budżetowym o kwotę 7 468 749,09 zł. Przychody z tytułu kredytów, pożyczek i emisji papierów wartościowych nie zmieniły się.</w:t>
      </w:r>
    </w:p>
    <w:p w14:paraId="4F074D7C" w14:textId="19897CAF" w:rsidR="00E47367" w:rsidRPr="00E47367" w:rsidRDefault="00C9169C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  <w:szCs w:val="24"/>
          <w:lang w:eastAsia="pl-PL"/>
        </w:rPr>
      </w:pPr>
      <w:r>
        <w:rPr>
          <w:rFonts w:ascii="Arial" w:eastAsiaTheme="minorEastAsia" w:hAnsi="Arial" w:cs="Times New Roman"/>
          <w:szCs w:val="24"/>
          <w:lang w:eastAsia="pl-PL"/>
        </w:rPr>
        <w:t>Plan r</w:t>
      </w:r>
      <w:r w:rsidR="00E47367" w:rsidRPr="00E47367">
        <w:rPr>
          <w:rFonts w:ascii="Arial" w:eastAsiaTheme="minorEastAsia" w:hAnsi="Arial" w:cs="Times New Roman"/>
          <w:szCs w:val="24"/>
          <w:lang w:eastAsia="pl-PL"/>
        </w:rPr>
        <w:t>ozchod</w:t>
      </w:r>
      <w:r>
        <w:rPr>
          <w:rFonts w:ascii="Arial" w:eastAsiaTheme="minorEastAsia" w:hAnsi="Arial" w:cs="Times New Roman"/>
          <w:szCs w:val="24"/>
          <w:lang w:eastAsia="pl-PL"/>
        </w:rPr>
        <w:t>ów</w:t>
      </w:r>
      <w:r w:rsidR="00E47367" w:rsidRPr="00E47367">
        <w:rPr>
          <w:rFonts w:ascii="Arial" w:eastAsiaTheme="minorEastAsia" w:hAnsi="Arial" w:cs="Times New Roman"/>
          <w:szCs w:val="24"/>
          <w:lang w:eastAsia="pl-PL"/>
        </w:rPr>
        <w:t xml:space="preserve"> budżetu w 2022 roku nie zmienił się.</w:t>
      </w:r>
    </w:p>
    <w:p w14:paraId="663470A7" w14:textId="124DFE24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  <w:szCs w:val="24"/>
          <w:lang w:eastAsia="pl-PL"/>
        </w:rPr>
      </w:pPr>
      <w:r w:rsidRPr="00E47367">
        <w:rPr>
          <w:rFonts w:ascii="Arial" w:eastAsiaTheme="minorEastAsia" w:hAnsi="Arial" w:cs="Times New Roman"/>
          <w:b/>
          <w:szCs w:val="24"/>
          <w:lang w:eastAsia="pl-PL"/>
        </w:rPr>
        <w:t>Tabela 2. Zmiany w przychodach w 2022 roku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E47367" w:rsidRPr="00E47367" w14:paraId="4E316A36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202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1A50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2C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231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Po zmianie</w:t>
            </w:r>
          </w:p>
        </w:tc>
      </w:tr>
      <w:tr w:rsidR="00E47367" w:rsidRPr="00E47367" w14:paraId="64FE24A9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F7C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Przychody budżetu,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809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3 569 036,00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A889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+7 468 749,09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A25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11 037 785,09 zł</w:t>
            </w:r>
          </w:p>
        </w:tc>
      </w:tr>
      <w:tr w:rsidR="00E47367" w:rsidRPr="00E47367" w14:paraId="20072202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295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nadwyżka budżetowa z lat ubiegłych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A9E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AA1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+387 930,17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882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387 930,17 zł</w:t>
            </w:r>
          </w:p>
        </w:tc>
      </w:tr>
      <w:tr w:rsidR="00E47367" w:rsidRPr="00E47367" w14:paraId="6529929E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717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wolne środki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852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3 569 036,00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8E6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+7 080 818,92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17E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10 649 854,92 zł</w:t>
            </w:r>
          </w:p>
        </w:tc>
      </w:tr>
      <w:tr w:rsidR="00E47367" w:rsidRPr="00E47367" w14:paraId="08B2A1EA" w14:textId="77777777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9B0F" w14:textId="3A0F0600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Rozchody budżetu</w:t>
            </w:r>
            <w:r w:rsidR="00880D7E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 xml:space="preserve"> (bez zmian)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1E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1 569 036,00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CE71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45A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1 569 036,00 zł</w:t>
            </w:r>
          </w:p>
        </w:tc>
      </w:tr>
    </w:tbl>
    <w:p w14:paraId="47FA532B" w14:textId="77777777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Times New Roman"/>
          <w:szCs w:val="24"/>
          <w:lang w:eastAsia="pl-PL"/>
        </w:rPr>
      </w:pPr>
    </w:p>
    <w:p w14:paraId="176E6BB3" w14:textId="77777777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Times New Roman"/>
          <w:szCs w:val="24"/>
          <w:lang w:eastAsia="pl-PL"/>
        </w:rPr>
      </w:pPr>
      <w:r w:rsidRPr="00E47367">
        <w:rPr>
          <w:rFonts w:ascii="Arial" w:eastAsiaTheme="minorEastAsia" w:hAnsi="Arial" w:cs="Arial"/>
          <w:szCs w:val="24"/>
          <w:lang w:eastAsia="pl-PL"/>
        </w:rPr>
        <w:t>Zmiany w Wieloletniej Prognozie Finansowej Gminy Pyrzyce na lata 2022-2030 spowodowały modyfikacje w kształtowaniu się relacji z art. 243 ustawy o finansach publicznych. Szczegóły zaprezentowano w tabeli poniżej.</w:t>
      </w:r>
    </w:p>
    <w:p w14:paraId="02266E6C" w14:textId="77777777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Times New Roman"/>
          <w:szCs w:val="24"/>
          <w:lang w:eastAsia="pl-PL"/>
        </w:rPr>
      </w:pPr>
      <w:r w:rsidRPr="00E47367">
        <w:rPr>
          <w:rFonts w:ascii="Arial" w:eastAsiaTheme="minorEastAsia" w:hAnsi="Arial" w:cs="Arial"/>
          <w:b/>
          <w:szCs w:val="24"/>
          <w:lang w:eastAsia="pl-PL"/>
        </w:rPr>
        <w:t xml:space="preserve">Tabela 3. Kształtowanie się relacji z art. 243 </w:t>
      </w:r>
      <w:proofErr w:type="spellStart"/>
      <w:r w:rsidRPr="00E47367">
        <w:rPr>
          <w:rFonts w:ascii="Arial" w:eastAsiaTheme="minorEastAsia" w:hAnsi="Arial" w:cs="Arial"/>
          <w:b/>
          <w:szCs w:val="24"/>
          <w:lang w:eastAsia="pl-PL"/>
        </w:rPr>
        <w:t>uofp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E47367" w:rsidRPr="00E47367" w14:paraId="2114F81F" w14:textId="77777777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826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4B526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65E41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AA938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BFB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A4279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2026</w:t>
            </w:r>
          </w:p>
        </w:tc>
      </w:tr>
      <w:tr w:rsidR="00E47367" w:rsidRPr="00E47367" w14:paraId="6FD93831" w14:textId="77777777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0C6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8A9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3,44%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EDE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3,19%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22B0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3,12%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3F8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3,24%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641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3,34%</w:t>
            </w:r>
          </w:p>
        </w:tc>
      </w:tr>
      <w:tr w:rsidR="00E47367" w:rsidRPr="00E47367" w14:paraId="1BDE6352" w14:textId="77777777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92B4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A99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9,48%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F7C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8,34%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436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7,86%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DF20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7,83%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C1B7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6,79%</w:t>
            </w:r>
          </w:p>
        </w:tc>
      </w:tr>
      <w:tr w:rsidR="00E47367" w:rsidRPr="00E47367" w14:paraId="0ED4A123" w14:textId="77777777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276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242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11,21%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C3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10,08%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2A5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9,59%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FE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9,57%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B42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8,58%</w:t>
            </w:r>
          </w:p>
        </w:tc>
      </w:tr>
      <w:tr w:rsidR="00E47367" w:rsidRPr="00E47367" w14:paraId="2D66AB62" w14:textId="77777777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6AFF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3B7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DD77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43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00A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E9C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Tak</w:t>
            </w:r>
          </w:p>
        </w:tc>
      </w:tr>
      <w:tr w:rsidR="00E47367" w:rsidRPr="00E47367" w14:paraId="5601E8D6" w14:textId="77777777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7B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EC591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FCF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EF097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0AEA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2030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97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</w:p>
        </w:tc>
      </w:tr>
      <w:tr w:rsidR="00E47367" w:rsidRPr="00E47367" w14:paraId="7AB2B2C9" w14:textId="77777777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BD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E94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1,93%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DD6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2,12%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BD2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1,72%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8EF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1,47%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1A8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</w:p>
        </w:tc>
      </w:tr>
      <w:tr w:rsidR="00E47367" w:rsidRPr="00E47367" w14:paraId="78FB4A71" w14:textId="77777777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12C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B0A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6,41%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877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6,03%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490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7,09%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7F0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7,99%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855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</w:p>
        </w:tc>
      </w:tr>
      <w:tr w:rsidR="00E47367" w:rsidRPr="00E47367" w14:paraId="0AB2227C" w14:textId="77777777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D22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b/>
                <w:sz w:val="20"/>
                <w:szCs w:val="24"/>
                <w:lang w:eastAsia="pl-PL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F20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8,20%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613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7,82%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A44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7,09%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E17F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  <w:t>7,99%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0DB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</w:p>
        </w:tc>
      </w:tr>
      <w:tr w:rsidR="00E47367" w:rsidRPr="00E47367" w14:paraId="67EA83A9" w14:textId="77777777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91D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b/>
                <w:sz w:val="20"/>
                <w:szCs w:val="24"/>
                <w:lang w:eastAsia="pl-PL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4F8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C9D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9CE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45A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Times New Roman"/>
                <w:sz w:val="20"/>
                <w:szCs w:val="24"/>
                <w:lang w:eastAsia="pl-PL"/>
              </w:rPr>
            </w:pPr>
            <w:r w:rsidRPr="00E47367"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733C" w14:textId="77777777" w:rsidR="00E47367" w:rsidRPr="00E47367" w:rsidRDefault="00E47367" w:rsidP="00E47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4"/>
                <w:lang w:eastAsia="pl-PL"/>
              </w:rPr>
            </w:pPr>
          </w:p>
        </w:tc>
      </w:tr>
    </w:tbl>
    <w:p w14:paraId="2AC9D372" w14:textId="77777777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Times New Roman"/>
          <w:szCs w:val="24"/>
          <w:lang w:eastAsia="pl-PL"/>
        </w:rPr>
      </w:pPr>
    </w:p>
    <w:p w14:paraId="1BC18938" w14:textId="2FE183DC" w:rsidR="00E47367" w:rsidRPr="00E47367" w:rsidRDefault="00E47367" w:rsidP="00E47367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Times New Roman"/>
          <w:szCs w:val="24"/>
          <w:lang w:eastAsia="pl-PL"/>
        </w:rPr>
      </w:pPr>
      <w:r w:rsidRPr="00E47367">
        <w:rPr>
          <w:rFonts w:ascii="Arial" w:eastAsiaTheme="minorEastAsia" w:hAnsi="Arial" w:cs="Arial"/>
          <w:szCs w:val="24"/>
          <w:lang w:eastAsia="pl-PL"/>
        </w:rPr>
        <w:t>Pełen zakres zmian obrazuj</w:t>
      </w:r>
      <w:r w:rsidR="00D50E05">
        <w:rPr>
          <w:rFonts w:ascii="Arial" w:eastAsiaTheme="minorEastAsia" w:hAnsi="Arial" w:cs="Arial"/>
          <w:szCs w:val="24"/>
          <w:lang w:eastAsia="pl-PL"/>
        </w:rPr>
        <w:t>e</w:t>
      </w:r>
      <w:r w:rsidRPr="00E47367">
        <w:rPr>
          <w:rFonts w:ascii="Arial" w:eastAsiaTheme="minorEastAsia" w:hAnsi="Arial" w:cs="Arial"/>
          <w:szCs w:val="24"/>
          <w:lang w:eastAsia="pl-PL"/>
        </w:rPr>
        <w:t xml:space="preserve"> </w:t>
      </w:r>
      <w:r w:rsidR="00D50E05">
        <w:rPr>
          <w:rFonts w:ascii="Arial" w:eastAsiaTheme="minorEastAsia" w:hAnsi="Arial" w:cs="Arial"/>
          <w:szCs w:val="24"/>
          <w:lang w:eastAsia="pl-PL"/>
        </w:rPr>
        <w:t>Z</w:t>
      </w:r>
      <w:r w:rsidRPr="00E47367">
        <w:rPr>
          <w:rFonts w:ascii="Arial" w:eastAsiaTheme="minorEastAsia" w:hAnsi="Arial" w:cs="Arial"/>
          <w:szCs w:val="24"/>
          <w:lang w:eastAsia="pl-PL"/>
        </w:rPr>
        <w:t xml:space="preserve">ałącznik </w:t>
      </w:r>
      <w:r w:rsidR="00D50E05">
        <w:rPr>
          <w:rFonts w:ascii="Arial" w:eastAsiaTheme="minorEastAsia" w:hAnsi="Arial" w:cs="Arial"/>
          <w:szCs w:val="24"/>
          <w:lang w:eastAsia="pl-PL"/>
        </w:rPr>
        <w:t>N</w:t>
      </w:r>
      <w:r w:rsidRPr="00E47367">
        <w:rPr>
          <w:rFonts w:ascii="Arial" w:eastAsiaTheme="minorEastAsia" w:hAnsi="Arial" w:cs="Arial"/>
          <w:szCs w:val="24"/>
          <w:lang w:eastAsia="pl-PL"/>
        </w:rPr>
        <w:t>r 1 do niniejszej uchwały.</w:t>
      </w:r>
    </w:p>
    <w:p w14:paraId="46A30C13" w14:textId="77777777" w:rsidR="00E47367" w:rsidRPr="00E47367" w:rsidRDefault="00E47367" w:rsidP="00E473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47367" w:rsidRPr="00E47367" w:rsidSect="00C912C2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376"/>
    <w:multiLevelType w:val="hybridMultilevel"/>
    <w:tmpl w:val="D85E2A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32"/>
    <w:rsid w:val="00020FED"/>
    <w:rsid w:val="00032F2D"/>
    <w:rsid w:val="000A4B32"/>
    <w:rsid w:val="000B2C21"/>
    <w:rsid w:val="000C776F"/>
    <w:rsid w:val="000D312D"/>
    <w:rsid w:val="000F276E"/>
    <w:rsid w:val="00146EE0"/>
    <w:rsid w:val="00175F32"/>
    <w:rsid w:val="002A36D3"/>
    <w:rsid w:val="003127E7"/>
    <w:rsid w:val="003136B9"/>
    <w:rsid w:val="003B69CC"/>
    <w:rsid w:val="004523DA"/>
    <w:rsid w:val="004703C5"/>
    <w:rsid w:val="004B411B"/>
    <w:rsid w:val="004D6CEE"/>
    <w:rsid w:val="00500009"/>
    <w:rsid w:val="005069A1"/>
    <w:rsid w:val="005103FF"/>
    <w:rsid w:val="00563165"/>
    <w:rsid w:val="005D04EB"/>
    <w:rsid w:val="005D0AE0"/>
    <w:rsid w:val="0061780E"/>
    <w:rsid w:val="00674394"/>
    <w:rsid w:val="006D19E0"/>
    <w:rsid w:val="0071049D"/>
    <w:rsid w:val="007D4698"/>
    <w:rsid w:val="008062A9"/>
    <w:rsid w:val="00826CB4"/>
    <w:rsid w:val="00880D7E"/>
    <w:rsid w:val="008D745D"/>
    <w:rsid w:val="00902EA6"/>
    <w:rsid w:val="0093341A"/>
    <w:rsid w:val="00951E26"/>
    <w:rsid w:val="00973F8F"/>
    <w:rsid w:val="009B57D9"/>
    <w:rsid w:val="009C0AF2"/>
    <w:rsid w:val="009D3E27"/>
    <w:rsid w:val="00AA3FA2"/>
    <w:rsid w:val="00AC24A6"/>
    <w:rsid w:val="00AF44F7"/>
    <w:rsid w:val="00C41F67"/>
    <w:rsid w:val="00C6239D"/>
    <w:rsid w:val="00C9169C"/>
    <w:rsid w:val="00CA2862"/>
    <w:rsid w:val="00D50E05"/>
    <w:rsid w:val="00DC2E44"/>
    <w:rsid w:val="00DD03D0"/>
    <w:rsid w:val="00DD4BB2"/>
    <w:rsid w:val="00E47367"/>
    <w:rsid w:val="00EA04CB"/>
    <w:rsid w:val="00EB6364"/>
    <w:rsid w:val="00F4311A"/>
    <w:rsid w:val="00F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7AB2"/>
  <w15:chartTrackingRefBased/>
  <w15:docId w15:val="{A249C807-90A0-435A-BD69-2275DCE3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Biuro Rady</cp:lastModifiedBy>
  <cp:revision>51</cp:revision>
  <cp:lastPrinted>2021-09-20T08:53:00Z</cp:lastPrinted>
  <dcterms:created xsi:type="dcterms:W3CDTF">2021-09-20T05:07:00Z</dcterms:created>
  <dcterms:modified xsi:type="dcterms:W3CDTF">2022-04-04T12:56:00Z</dcterms:modified>
</cp:coreProperties>
</file>